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A9394" w14:textId="77777777" w:rsidR="0090749F" w:rsidRPr="0090749F" w:rsidRDefault="0090749F" w:rsidP="0090749F">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90749F">
        <w:rPr>
          <w:rFonts w:ascii="Lato" w:eastAsia="Times New Roman" w:hAnsi="Lato" w:cs="Times New Roman"/>
          <w:color w:val="CC3300"/>
          <w:kern w:val="36"/>
          <w:sz w:val="36"/>
          <w:szCs w:val="36"/>
          <w:lang w:eastAsia="fr-BE"/>
          <w14:ligatures w14:val="none"/>
        </w:rPr>
        <w:t>L’aluminium évolue dans le vert</w:t>
      </w:r>
    </w:p>
    <w:p w14:paraId="22422611" w14:textId="77777777" w:rsidR="0090749F" w:rsidRDefault="0090749F" w:rsidP="0090749F">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16B70A3E" w14:textId="6173604C" w:rsidR="0090749F" w:rsidRPr="0090749F" w:rsidRDefault="0090749F" w:rsidP="0090749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0749F">
        <w:rPr>
          <w:rFonts w:ascii="Lato" w:eastAsia="Times New Roman" w:hAnsi="Lato" w:cs="Times New Roman"/>
          <w:color w:val="000000"/>
          <w:kern w:val="0"/>
          <w:sz w:val="23"/>
          <w:szCs w:val="23"/>
          <w:lang w:eastAsia="fr-BE"/>
          <w14:ligatures w14:val="none"/>
        </w:rPr>
        <w:t> Les cours de l’</w:t>
      </w:r>
      <w:r w:rsidRPr="0090749F">
        <w:rPr>
          <w:rFonts w:ascii="Lato" w:eastAsia="Times New Roman" w:hAnsi="Lato" w:cs="Times New Roman"/>
          <w:color w:val="000000"/>
          <w:kern w:val="0"/>
          <w:sz w:val="23"/>
          <w:szCs w:val="23"/>
          <w:u w:val="single"/>
          <w:lang w:eastAsia="fr-BE"/>
          <w14:ligatures w14:val="none"/>
        </w:rPr>
        <w:t>aluminium</w:t>
      </w:r>
      <w:r w:rsidRPr="0090749F">
        <w:rPr>
          <w:rFonts w:ascii="Lato" w:eastAsia="Times New Roman" w:hAnsi="Lato" w:cs="Times New Roman"/>
          <w:color w:val="000000"/>
          <w:kern w:val="0"/>
          <w:sz w:val="23"/>
          <w:szCs w:val="23"/>
          <w:lang w:eastAsia="fr-BE"/>
          <w14:ligatures w14:val="none"/>
        </w:rPr>
        <w:t> ont progressé ce matin, conséquence des prises de positions par les négociants, avant la fin du trimestre. La baisse des stocks enregistrée aujourd’hui et le tassement du dollar contribuent à ce raffermissement.</w:t>
      </w:r>
    </w:p>
    <w:p w14:paraId="0710BD01" w14:textId="77777777" w:rsidR="0090749F" w:rsidRPr="0090749F" w:rsidRDefault="0090749F" w:rsidP="0090749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0749F">
        <w:rPr>
          <w:rFonts w:ascii="Lato" w:eastAsia="Times New Roman" w:hAnsi="Lato" w:cs="Times New Roman"/>
          <w:color w:val="000000"/>
          <w:kern w:val="0"/>
          <w:sz w:val="23"/>
          <w:szCs w:val="23"/>
          <w:lang w:eastAsia="fr-BE"/>
          <w14:ligatures w14:val="none"/>
        </w:rPr>
        <w:t>Sur le LME, le cours de l’</w:t>
      </w:r>
      <w:r w:rsidRPr="0090749F">
        <w:rPr>
          <w:rFonts w:ascii="Lato" w:eastAsia="Times New Roman" w:hAnsi="Lato" w:cs="Times New Roman"/>
          <w:color w:val="000000"/>
          <w:kern w:val="0"/>
          <w:sz w:val="23"/>
          <w:szCs w:val="23"/>
          <w:u w:val="single"/>
          <w:lang w:eastAsia="fr-BE"/>
          <w14:ligatures w14:val="none"/>
        </w:rPr>
        <w:t>aluminium</w:t>
      </w:r>
      <w:r w:rsidRPr="0090749F">
        <w:rPr>
          <w:rFonts w:ascii="Lato" w:eastAsia="Times New Roman" w:hAnsi="Lato" w:cs="Times New Roman"/>
          <w:color w:val="000000"/>
          <w:kern w:val="0"/>
          <w:sz w:val="23"/>
          <w:szCs w:val="23"/>
          <w:lang w:eastAsia="fr-BE"/>
          <w14:ligatures w14:val="none"/>
        </w:rPr>
        <w:t> pour livraison à 3 mois affiche un gain de près de 2 % depuis l’ouverture, à plus de 2.330 $/tonne. Il a gagné plus de 8 % depuis le début du trimestre.</w:t>
      </w:r>
    </w:p>
    <w:p w14:paraId="282F76A1" w14:textId="77777777" w:rsidR="0090749F" w:rsidRPr="0090749F" w:rsidRDefault="0090749F" w:rsidP="0090749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0749F">
        <w:rPr>
          <w:rFonts w:ascii="Lato" w:eastAsia="Times New Roman" w:hAnsi="Lato" w:cs="Times New Roman"/>
          <w:color w:val="000000"/>
          <w:kern w:val="0"/>
          <w:sz w:val="23"/>
          <w:szCs w:val="23"/>
          <w:lang w:eastAsia="fr-BE"/>
          <w14:ligatures w14:val="none"/>
        </w:rPr>
        <w:t>« </w:t>
      </w:r>
      <w:r w:rsidRPr="0090749F">
        <w:rPr>
          <w:rFonts w:ascii="Lato" w:eastAsia="Times New Roman" w:hAnsi="Lato" w:cs="Times New Roman"/>
          <w:i/>
          <w:iCs/>
          <w:color w:val="000000"/>
          <w:kern w:val="0"/>
          <w:sz w:val="23"/>
          <w:szCs w:val="23"/>
          <w:lang w:eastAsia="fr-BE"/>
          <w14:ligatures w14:val="none"/>
        </w:rPr>
        <w:t>Nous avons constaté d’importants mouvements de cours aujourd’hui, mais ce rebond est, au moins pour le cuivre et l’aluminium, la conséquence de prises de positions, dans la mesure où il s’agit de la dernière séance de la semaine, du mois et du trimestre </w:t>
      </w:r>
      <w:r w:rsidRPr="0090749F">
        <w:rPr>
          <w:rFonts w:ascii="Lato" w:eastAsia="Times New Roman" w:hAnsi="Lato" w:cs="Times New Roman"/>
          <w:color w:val="000000"/>
          <w:kern w:val="0"/>
          <w:sz w:val="23"/>
          <w:szCs w:val="23"/>
          <w:lang w:eastAsia="fr-BE"/>
          <w14:ligatures w14:val="none"/>
        </w:rPr>
        <w:t xml:space="preserve">», souligne Dan Smith, analyste chez </w:t>
      </w:r>
      <w:proofErr w:type="spellStart"/>
      <w:r w:rsidRPr="0090749F">
        <w:rPr>
          <w:rFonts w:ascii="Lato" w:eastAsia="Times New Roman" w:hAnsi="Lato" w:cs="Times New Roman"/>
          <w:color w:val="000000"/>
          <w:kern w:val="0"/>
          <w:sz w:val="23"/>
          <w:szCs w:val="23"/>
          <w:lang w:eastAsia="fr-BE"/>
          <w14:ligatures w14:val="none"/>
        </w:rPr>
        <w:t>Amalgamated</w:t>
      </w:r>
      <w:proofErr w:type="spellEnd"/>
      <w:r w:rsidRPr="0090749F">
        <w:rPr>
          <w:rFonts w:ascii="Lato" w:eastAsia="Times New Roman" w:hAnsi="Lato" w:cs="Times New Roman"/>
          <w:color w:val="000000"/>
          <w:kern w:val="0"/>
          <w:sz w:val="23"/>
          <w:szCs w:val="23"/>
          <w:lang w:eastAsia="fr-BE"/>
          <w14:ligatures w14:val="none"/>
        </w:rPr>
        <w:t xml:space="preserve"> </w:t>
      </w:r>
      <w:proofErr w:type="spellStart"/>
      <w:r w:rsidRPr="0090749F">
        <w:rPr>
          <w:rFonts w:ascii="Lato" w:eastAsia="Times New Roman" w:hAnsi="Lato" w:cs="Times New Roman"/>
          <w:color w:val="000000"/>
          <w:kern w:val="0"/>
          <w:sz w:val="23"/>
          <w:szCs w:val="23"/>
          <w:lang w:eastAsia="fr-BE"/>
          <w14:ligatures w14:val="none"/>
        </w:rPr>
        <w:t>Metal</w:t>
      </w:r>
      <w:proofErr w:type="spellEnd"/>
      <w:r w:rsidRPr="0090749F">
        <w:rPr>
          <w:rFonts w:ascii="Lato" w:eastAsia="Times New Roman" w:hAnsi="Lato" w:cs="Times New Roman"/>
          <w:color w:val="000000"/>
          <w:kern w:val="0"/>
          <w:sz w:val="23"/>
          <w:szCs w:val="23"/>
          <w:lang w:eastAsia="fr-BE"/>
          <w14:ligatures w14:val="none"/>
        </w:rPr>
        <w:t xml:space="preserve"> trading. « </w:t>
      </w:r>
      <w:r w:rsidRPr="0090749F">
        <w:rPr>
          <w:rFonts w:ascii="Lato" w:eastAsia="Times New Roman" w:hAnsi="Lato" w:cs="Times New Roman"/>
          <w:i/>
          <w:iCs/>
          <w:color w:val="000000"/>
          <w:kern w:val="0"/>
          <w:sz w:val="23"/>
          <w:szCs w:val="23"/>
          <w:lang w:eastAsia="fr-BE"/>
          <w14:ligatures w14:val="none"/>
        </w:rPr>
        <w:t>Les opérateurs empochent leurs bénéfices et ceux qui sont à découvert rachètent ces positions. Cette tendance haussière pourrait être de courte durée et ne pas se prolonger la semaine prochaine </w:t>
      </w:r>
      <w:r w:rsidRPr="0090749F">
        <w:rPr>
          <w:rFonts w:ascii="Lato" w:eastAsia="Times New Roman" w:hAnsi="Lato" w:cs="Times New Roman"/>
          <w:color w:val="000000"/>
          <w:kern w:val="0"/>
          <w:sz w:val="23"/>
          <w:szCs w:val="23"/>
          <w:lang w:eastAsia="fr-BE"/>
          <w14:ligatures w14:val="none"/>
        </w:rPr>
        <w:t>», avertit l’analyste.</w:t>
      </w:r>
    </w:p>
    <w:p w14:paraId="3FE6B8DC" w14:textId="77777777" w:rsidR="0090749F" w:rsidRPr="0090749F" w:rsidRDefault="0090749F" w:rsidP="0090749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0749F">
        <w:rPr>
          <w:rFonts w:ascii="Lato" w:eastAsia="Times New Roman" w:hAnsi="Lato" w:cs="Times New Roman"/>
          <w:color w:val="000000"/>
          <w:kern w:val="0"/>
          <w:sz w:val="23"/>
          <w:szCs w:val="23"/>
          <w:lang w:eastAsia="fr-BE"/>
          <w14:ligatures w14:val="none"/>
        </w:rPr>
        <w:t>De nouveaux indicateurs chinois sont attendus ce week-end. Des signaux positifs émanent de Chine, notamment liés à la consommation de cuivre, indique l’analyste, qui se dit « </w:t>
      </w:r>
      <w:r w:rsidRPr="0090749F">
        <w:rPr>
          <w:rFonts w:ascii="Lato" w:eastAsia="Times New Roman" w:hAnsi="Lato" w:cs="Times New Roman"/>
          <w:i/>
          <w:iCs/>
          <w:color w:val="000000"/>
          <w:kern w:val="0"/>
          <w:sz w:val="23"/>
          <w:szCs w:val="23"/>
          <w:lang w:eastAsia="fr-BE"/>
          <w14:ligatures w14:val="none"/>
        </w:rPr>
        <w:t>nettement optimiste sur le fait le pays est en train de repartir </w:t>
      </w:r>
      <w:r w:rsidRPr="0090749F">
        <w:rPr>
          <w:rFonts w:ascii="Lato" w:eastAsia="Times New Roman" w:hAnsi="Lato" w:cs="Times New Roman"/>
          <w:color w:val="000000"/>
          <w:kern w:val="0"/>
          <w:sz w:val="23"/>
          <w:szCs w:val="23"/>
          <w:lang w:eastAsia="fr-BE"/>
          <w14:ligatures w14:val="none"/>
        </w:rPr>
        <w:t>».</w:t>
      </w:r>
    </w:p>
    <w:p w14:paraId="114E9682" w14:textId="77777777" w:rsidR="0090749F" w:rsidRPr="0090749F" w:rsidRDefault="0090749F" w:rsidP="0090749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0749F">
        <w:rPr>
          <w:rFonts w:ascii="Lato" w:eastAsia="Times New Roman" w:hAnsi="Lato" w:cs="Times New Roman"/>
          <w:color w:val="000000"/>
          <w:kern w:val="0"/>
          <w:sz w:val="23"/>
          <w:szCs w:val="23"/>
          <w:lang w:eastAsia="fr-BE"/>
          <w14:ligatures w14:val="none"/>
        </w:rPr>
        <w:t>L’</w:t>
      </w:r>
      <w:r w:rsidRPr="0090749F">
        <w:rPr>
          <w:rFonts w:ascii="Lato" w:eastAsia="Times New Roman" w:hAnsi="Lato" w:cs="Times New Roman"/>
          <w:color w:val="000000"/>
          <w:kern w:val="0"/>
          <w:sz w:val="23"/>
          <w:szCs w:val="23"/>
          <w:u w:val="single"/>
          <w:lang w:eastAsia="fr-BE"/>
          <w14:ligatures w14:val="none"/>
        </w:rPr>
        <w:t>or</w:t>
      </w:r>
      <w:r w:rsidRPr="0090749F">
        <w:rPr>
          <w:rFonts w:ascii="Lato" w:eastAsia="Times New Roman" w:hAnsi="Lato" w:cs="Times New Roman"/>
          <w:color w:val="000000"/>
          <w:kern w:val="0"/>
          <w:sz w:val="23"/>
          <w:szCs w:val="23"/>
          <w:lang w:eastAsia="fr-BE"/>
          <w14:ligatures w14:val="none"/>
        </w:rPr>
        <w:t> est également orienté à la hausse, mais ne devrait pas effacer les pertes enregistrées au cours du mois et du trimestre écoulés. Hier, le métal jaune avait chuté à son plus bas niveau depuis 6 mois.</w:t>
      </w:r>
    </w:p>
    <w:p w14:paraId="4B35EF30"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9F"/>
    <w:rsid w:val="00287462"/>
    <w:rsid w:val="0090749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1B78"/>
  <w15:chartTrackingRefBased/>
  <w15:docId w15:val="{686D6A2C-3DA6-4768-8BC4-1AD1C40E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4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1225</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2023-10-02T08:49:00Z</dcterms:created>
  <dcterms:modified xsi:type="dcterms:W3CDTF">2023-10-02T08:49:00Z</dcterms:modified>
</cp:coreProperties>
</file>